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Профпатология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Профпатология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Профпатология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Профпатология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И., 29 лет, сушильщик аккумуляторных пластин в литейно-формовочном цехе аккумуляторного завода, направлен в центр профессиональной патологии для установления диагноза, лечения и решения экспертных вопросов.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общую слабость, повышенную утомляемость, сладковатый вкус во рту, боли в суставах конечностей, онемение их, периодические схваткообразные боли в животе, запор.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Направлен к профпатологу после периодического медицинского осмотра. Работает сушильщиком аккумуляторных пластин в литейно-формовочном цехе аккумуляторного завода в течение 4 лет. Концентрация свинца в воздухе рабочей зоны превышает ПДК в 30-50 и более раз. Считает себя больным последние 2 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курит 1 пачку в день, алкоголем не злоупотребляет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отец здоров, мать здорова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180 см, масса тела 90 кг. Кожа бледноватой окраски, влажная, дермографизм ярко-красный, стойкий, отмечается гиперестезия на верхних конечностях по типу "перчаток". Тоны сердца приглушены. ЧСС 60 уд/мин. АД 120/80 мм рт.ст. В легких везикулярное дыхание. Язык чистый, влажный, живот правильной формы, активно участвует в акте дыхания, мягкий, безболезненный, пальпируется спастическая сигма. Печень по краю реберной дуги.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верификации свинцовой интоксикации пациенту необходимо сделать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анализ волос на свинец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ногтей на наличие свинца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клинический анализ крови и анализ мочи на содержание АЛК, копропорфирина, свинца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клинический анализ крови и анализ мочи на содержание АЛК, копропорфирина, свинца</w:t>
      </w:r>
    </w:p>
    <w:p>
      <w:pPr>
        <w:ind w:left="504"/>
      </w:pPr>
      <w:r>
        <w:rPr>
          <w:b w:val="0"/>
          <w:i/>
        </w:rPr>
        <w:t>Известно также, что свинец оказывает непосредственное действие на эритроциты. Нарушая морфофункциональные структуры эритробластов и зрелых форм, свинец снижает жизнеспособность эритроцитов, что сокращает продолжительность их жизни и ускоряет гибель. Это вызывает активацию эритропоэза, выражающуюся в ретикулоцитозе и увеличении количества эритроцитов с базофильной зернистостью.</w:t>
        <w:br/>
        <w:br/>
        <w:t>Выраженная форма характеризуется развитием анемического синдрома, «свинцовой» колики, значительными расстройствами нервной системы (выраженные формы астенического, астеновегетативного синдромов, полинейропатии или, редко, энцефалопатии), признаками токсического поражения печени (нарушение функциональных проб).</w:t>
        <w:br/>
        <w:br/>
        <w:t>Профессиональные болезни. Глава 2. Интоксикации свинцом и его соединениями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  <w:r>
        <w:rPr>
          <w:b w:val="0"/>
          <w:i/>
        </w:rPr>
        <w:br/>
        <w:br/>
        <w:t xml:space="preserve"> a| *Степень  выраженности интоксикации    свинцом* a| *АЛК мочи*</w:t>
        <w:br/>
        <w:br/>
        <w:t>*мкг/г       креатинина* a| КП мочи</w:t>
        <w:br/>
        <w:br/>
        <w:t>*мг/г креатинина* a| *Свинец в  моче мкг/л*</w:t>
        <w:br/>
        <w:br/>
        <w:t xml:space="preserve"> a| Начальная a|</w:t>
        <w:br/>
        <w:br/>
        <w:t xml:space="preserve"> a|</w:t>
        <w:br/>
        <w:br/>
        <w:t xml:space="preserve"> a|</w:t>
        <w:br/>
        <w:br/>
        <w:t xml:space="preserve"> a| Форма a| До 15 a| До 300 a| До 100</w:t>
        <w:br/>
        <w:br/>
        <w:t xml:space="preserve"> a| Легкая a|</w:t>
        <w:br/>
        <w:br/>
        <w:t xml:space="preserve"> a|</w:t>
        <w:br/>
        <w:br/>
        <w:t xml:space="preserve"> a|</w:t>
        <w:br/>
        <w:br/>
        <w:t xml:space="preserve"> a| Форма a| До 25 a| До 500 a| До 150</w:t>
        <w:br/>
        <w:br/>
        <w:t xml:space="preserve"> a| Выраженная форма a| Более 25 a| Более 500 a| Более 150</w:t>
        <w:br/>
        <w:br/>
        <w:t xml:space="preserve"> a| Контроль</w:t>
        <w:br/>
        <w:br/>
        <w:t>[ (х,±1,5а) a| 0,23 - 3,2 a| 3,4 - 68,7 a| До 40</w:t>
        <w:br/>
        <w:br/>
        <w:t>Изучение состояния порфиринового обмена при воздействии свинца позволило уточнить его роль в развитии «свинцовой» анемии. Было установлено, что свинец угнетает активность ферментов, участвующих в биосинтезе гема, в частности дегидратазы δ-аминолевулиновой кислоты и гемсинтетазы, блокируя их сульфгидрильные группы. Вследствие этого происходит увеличение содержания δ-аминолевулиновой кислоты и копропорфирина в моче и накопление в эритроцитах не использованных в синтезе гема протопорфирина и железа.</w:t>
        <w:br/>
        <w:br/>
        <w:t>При определении формы интоксикации необходимо учитывать, как сочетание, так и выраженность отдельных синдромов.</w:t>
        <w:br/>
        <w:br/>
        <w:t>Во время периодических медицинских осмотров могут быть выявлены рабочие, у которых повышено содержание δ-аминолевулиновой кислоты в моче при отсутствии сдвигов в других лабораторных показателях. Таких рабочих нужно в дальнейшем наблюдать более тщательно.</w:t>
        <w:br/>
        <w:br/>
        <w:t>Профессиональные болезни. Глава 2. Интоксикации свинцом и его соединениями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Клинический анализ крови и анализ мочи на содержание АЛК, копропорфирина, свинца</w:t>
      </w:r>
    </w:p>
    <w:p>
      <w:pPr>
        <w:spacing w:after="58"/>
      </w:pPr>
      <w:r>
        <w:rPr>
          <w:b w:val="0"/>
          <w:i w:val="0"/>
        </w:rPr>
        <w:t>Анализ мочи; содержание дельта-аминолевулиновой кислоты 50,2 мкмоль / г креатинина (норма до 19 мкмоль / г креатинин</w:t>
      </w:r>
    </w:p>
    <w:p>
      <w:pPr>
        <w:spacing w:after="58"/>
      </w:pPr>
      <w:r>
        <w:rPr>
          <w:b w:val="0"/>
          <w:i w:val="0"/>
        </w:rPr>
        <w:t>копропорфирины 2607 ммоль / г креатинина (норма до 122 мкмоль / г креатинина)</w:t>
      </w:r>
    </w:p>
    <w:p>
      <w:pPr>
        <w:spacing w:after="58"/>
      </w:pPr>
      <w:r>
        <w:rPr>
          <w:b w:val="0"/>
          <w:i w:val="0"/>
        </w:rPr>
        <w:t>содержание свинца в моче 12,05 мкм/л, (норма до 0,4 мкм/л)</w:t>
      </w:r>
    </w:p>
    <w:p>
      <w:pPr>
        <w:spacing w:after="58"/>
      </w:pPr>
      <w:r>
        <w:rPr>
          <w:b w:val="0"/>
          <w:i w:val="0"/>
        </w:rPr>
        <w:t>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*Параметр*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*Значения*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*Референсные значения*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100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130-170 г/л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3,2х1012/л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4,0-5,0х1012/л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с базофильной зернистостью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170%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5.7x109/л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4,0-9,0x109/л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51%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42-50%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Ретикулоциты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до 12%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240х109/л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180-320х109/л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(скорость оседания эритроцитов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3-10 мм/ч</w:t>
            </w:r>
          </w:p>
        </w:tc>
      </w:tr>
    </w:tbl>
    <w:p/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подозрении на свинцовую интоксикацию для обследования периферической нервной системы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электронейромиографию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спирометрию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электрокардиограмму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электронейромиографию</w:t>
      </w:r>
    </w:p>
    <w:p>
      <w:pPr>
        <w:ind w:left="504"/>
      </w:pPr>
      <w:r>
        <w:rPr>
          <w:b w:val="0"/>
          <w:i/>
        </w:rPr>
        <w:t>При нарушениях нервно-мышечной передачи. В нормальных условиях в месте контакта нервного волокна с мышцей имеется особая структура, ответственная за передачу нервного импульса (синапс). При поражении синапса импульс не сможет переходить с нерва на мышцу, в результате чего будут отмечаться характерные клинические проявления (мышечная слабость, нарушения произвольных движений и так далее). Сам нерв при этом будет функционировать нормально, то есть по нему импульсы будут проводиться с нормальной скоростью, что можно будет определить при стимуляционной ЭНМГ.</w:t>
        <w:br/>
        <w:br/>
        <w:t>Неврология. Национальное руководство. Краткое издание / под ред. Е. И. Гусева, А. Н. Коновалова, А. Б. Гехт. - М. : ГЭОТАРМедиа, 2018. - 688 с. - ISBN 978-5-9704-4405-4</w:t>
        <w:br/>
        <w:br/>
      </w:r>
      <w:hyperlink r:id="rId10">
        <w:r>
          <w:rPr>
            <w:color w:val="0F766E"/>
            <w:u w:val="single"/>
          </w:rPr>
          <w:t>https://vrachirf.ru/storage/7b/da/77/de/e9/76/4a/ad/4bd3-f6593c-6116cd.pdf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Электронейромиография</w:t>
      </w:r>
    </w:p>
    <w:p>
      <w:pPr>
        <w:spacing w:after="58"/>
      </w:pPr>
      <w:r>
        <w:rPr>
          <w:b w:val="0"/>
          <w:i w:val="0"/>
        </w:rPr>
        <w:t>*Стимуляционная ЭНМГ*</w:t>
      </w:r>
    </w:p>
    <w:p>
      <w:pPr>
        <w:spacing w:after="58"/>
      </w:pPr>
      <w:r>
        <w:rPr>
          <w:b w:val="0"/>
          <w:i w:val="0"/>
        </w:rPr>
        <w:t>1.</w:t>
        <w:tab/>
        <w:t>N. ulnaris sin. (m. abd. dig. V): амплитуда М-ответа 8,79 мВ – норма (N &gt; 6.0 мВ) – в дистальной точке стимуляции, в проксимальной точке стимуляции 6,17 мВ – в области локтевого сустава. +</w:t>
        <w:br/>
        <w:t>М-ответ деформирован. Скорость распространения возбуждения (СРВ) на: предплечье 55 м/с – норма (норма более 40 м/с). Резидуальная латентность 1,33 мс – норма (N &lt; 2,5 мс). +</w:t>
        <w:br/>
        <w:t>Порог вызывания М-ответа не изменен. +</w:t>
        <w:br/>
        <w:t>F-волны – вызываются латентным периодом 30,97 мс, выпадений 10%.</w:t>
      </w:r>
    </w:p>
    <w:p>
      <w:pPr>
        <w:spacing w:after="58"/>
      </w:pPr>
      <w:r>
        <w:rPr>
          <w:b w:val="0"/>
          <w:i w:val="0"/>
        </w:rPr>
        <w:t>2.</w:t>
        <w:tab/>
        <w:t>N. medianus sin. (m. abd. pol. br.): амплитуда М-ответа 3,77 мВ - в дистальной точке стимуляции (N &gt; 3,5 мВ), 3,5 мВ - в проксимальной точке стимуляции. М-ответ не изменен. +</w:t>
        <w:br/>
        <w:t>Скорость распространения возбуждения (СРВ) на: предплечье 55 м/с – норма. +</w:t>
        <w:br/>
        <w:t>Резидуальная латентность 2,4 мс - норма (N &lt; 2,5 мс). Порог вызывания М-ответа не повышен. +</w:t>
        <w:br/>
        <w:t>F-волны – вызываются с латентностью 30,8 мс, выпадений нет, гигантских ответов нет.</w:t>
        <w:br/>
        <w:t>3.</w:t>
        <w:tab/>
        <w:t>СРВ по чувствительным волокнам N. ulnaris snt. – 41 м/с (норма  более 40 м/с), ПД 570 мВ – повышен.</w:t>
        <w:br/>
        <w:t>4.</w:t>
        <w:tab/>
        <w:t>СРВ по чувствительным волокнам N. medianus snt. – 39,4 м/с (норма  более 40 м/с), ПД 10 мкВ (норма).</w:t>
      </w:r>
    </w:p>
    <w:p>
      <w:pPr>
        <w:spacing w:after="58"/>
      </w:pPr>
      <w:r>
        <w:rPr>
          <w:b w:val="0"/>
          <w:i w:val="0"/>
        </w:rPr>
        <w:t>*Заключение:*</w:t>
      </w:r>
    </w:p>
    <w:p>
      <w:pPr>
        <w:spacing w:after="58"/>
      </w:pPr>
      <w:r>
        <w:rPr>
          <w:b w:val="0"/>
          <w:i w:val="0"/>
        </w:rPr>
        <w:t>1. По данным стимуляционной ЭНМГ скорость проведения возбуждения по моторным и сенсорным волокнам N. medianus sin., N. ulnaris sin. изменена.</w:t>
        <w:br/>
        <w:t>2. Блоков проведения нет.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Исходя из вышеуказанных данных можно установить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Легкая форма интоксикации свинцом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Профессиональная интоксикация свинцом средней степени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Начальная форма интоксикации свинцом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Хроническая профессиональная интоксикации свинцом выраженная стадия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Хроническая профессиональная интоксикации свинцом выраженная стадия</w:t>
      </w:r>
    </w:p>
    <w:p>
      <w:pPr>
        <w:ind w:left="504"/>
      </w:pPr>
      <w:r>
        <w:rPr>
          <w:b w:val="0"/>
          <w:i/>
        </w:rPr>
        <w:t>…система крови является наиболее чувствительной к воздействию свинца, а потому изменениям со стороны других систем и органов обычно, как правило, сопутствуют характерные гематологические сдвиги (ретикулоцитоз, базофильно-зернистые эритроциты, падение процента гемоглобина), а также порфиринурия.</w:t>
        <w:br/>
        <w:br/>
        <w:t>Диагностические критериизависят от ведущих клинических синдромов, длительного стажа работы в условиях работы с токсическими соединениями свинца в концентрациях, превышающих ПДК</w:t>
        <w:br/>
        <w:br/>
        <w:t>Выраженная форма. Характеризуется развитием анемического синдрома, свинцовой колики, значительными расстройствами нервной системы (выраженные формы астенического, астеновегетативного синдромов, полиневропатии и энцефалопатии), признаками токсического Изменения порфиринового превышает 190 мкмоль/г креатинина, КП – 770 н/моль г креатинина. Ретикулоцитоз более 40 /00, количество базофильно-зернистых эритроцитов более 60 гипохромного или нормохромного характера со снижением уровня гемоглобина у мужчин ниже 120 г/л и у женщин ниже 110 г/л. Содержание свинца в крови превышает 80 мкг% или 0,38 мкмоль%.</w:t>
        <w:br/>
        <w:br/>
        <w:t>Перечень профессиональных заболеваний (Приказ Министерства здравоохранения и социального развития РФ от 27 апреля 2012 г. N 417н "Об утверждении перечня профессиональных заболеваний")</w:t>
        <w:br/>
        <w:br/>
      </w:r>
      <w:hyperlink r:id="rId11">
        <w:r>
          <w:rPr>
            <w:color w:val="0F766E"/>
            <w:u w:val="single"/>
          </w:rPr>
          <w:t>https://legalacts.ru/doc/prikaz-minzdravsotsrazvitija-rossii-ot-27042012-n-417n/</w:t>
        </w:r>
      </w:hyperlink>
      <w:r>
        <w:rPr>
          <w:b w:val="0"/>
          <w:i/>
        </w:rPr>
        <w:br/>
        <w:br/>
        <w:t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</w:t>
        <w:br/>
        <w:br/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Учебник Глава 2. Интоксикации свинцом и его соединениями / В.Г. Артамонова, Н.А.Мухин - М.:Медицина, 2004 -497 с</w:t>
        <w:br/>
        <w:br/>
        <w:t>Профессиональные болезни: учебное пособие для вузов / В. В. Косарев, В. С. Лотков, С. А. Бабанов. - М. : ГЭОТАР-Медиа, 2008. - 160 с.</w:t>
        <w:br/>
        <w:br/>
        <w:t>Раздел четвертый. Профессиональные заболевания от воздействия химических факторов. Глава 12. Интоксикации металлами и химическими веществами в промышленности, стр. 94-96</w:t>
        <w:br/>
        <w:br/>
      </w:r>
      <w:hyperlink r:id="rId13">
        <w:r>
          <w:rPr>
            <w:color w:val="0F766E"/>
            <w:u w:val="single"/>
          </w:rPr>
          <w:t>http://vip-doctors.ru/prof_bol/prof_otr_svinec.php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http://www.rosmedlib.ru/book/ISBN9785970442999.html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Хроническая профессиональная интоксикации свинцом выраженная стадия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Необходимым условем дляразвития хронической свинцовой интоксикации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наличие аллергии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генетической предрасположенности к сахарному диабету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работа в контакте со свинцом, превышающим ПДК в воздухе рабочей зоны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контакта с инфекционными больными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работа в контакте со свинцом, превышающим ПДК в воздухе рабочей зоны</w:t>
      </w:r>
    </w:p>
    <w:p>
      <w:pPr>
        <w:ind w:left="504"/>
      </w:pPr>
      <w:r>
        <w:rPr>
          <w:b w:val="0"/>
          <w:i/>
        </w:rPr>
        <w:t>Свинец и многие его соединения используются в промышленности для изготовления некоторых сплавов (типографские, баббиты, латунь), аккумуляторов, припоев, химической аппаратуры, защитных средств от ионизирующего излучения, в производстве хрусталя, а также в качестве красок (свинцовые белила, свинцовый сурик), глазури для гончарных изделий и др.</w:t>
        <w:br/>
        <w:br/>
        <w:t>Интоксикации свинцом возможны главным образом в производственных условиях. Однако встречаются случаи интоксикаций свинцом в быту при употреблении пищевых продуктов, долгое время хранившихся в керамической посуде, покрытой изнутри свинцовой глазурью.</w:t>
        <w:br/>
        <w:br/>
        <w:t>Профессиональные болезни. Глава 2.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Профпатолог не смог предположить диагноз острой интоксикации свинцом потму,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 работника небольшой стаж работы в условиях воздейстия свинца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 пациента не достаточно данных лабораторных анализов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острой интоксикации свинцом не бывает в силу особенностей патогенеза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 работника был длительный стаж работы в условиях воздействия свинца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острой интоксикации свинцом не бывает в силу особенностей патогенеза</w:t>
      </w:r>
    </w:p>
    <w:p>
      <w:pPr>
        <w:ind w:left="504"/>
      </w:pPr>
      <w:r>
        <w:rPr>
          <w:b w:val="0"/>
          <w:i/>
        </w:rPr>
        <w:t>Свинец обладает кумулятивным эффектом и проявления интоксикацию возникают только после накопления его в организме и воздействии его на органы мишени, вызывая хронические поражения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Свинец может поступать в организм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транскутанно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перорально, транскутанно, ингаляционно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перорально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перорально, транскутанно, ингаляционно</w:t>
      </w:r>
    </w:p>
    <w:p>
      <w:pPr>
        <w:ind w:left="504"/>
      </w:pPr>
      <w:r>
        <w:rPr>
          <w:b w:val="0"/>
          <w:i/>
        </w:rPr>
        <w:t>Пути поступления свинца в организм, основной – ингаляционный, реже – желудочно-кишечный тракт, еще реже – кожные покровы. Через органы дыхания свинец наиболее часто поступает в виде пыли, аэрозолей и паров (всасывается 10-30%). В желудочно-кишечный тракт свинец поступает при несоблюдении правил личной гигиены (всасывается 5-10%)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Свинец используется в промышленности при изготовлении сплавов баббитов, латуни, аккумуляторов, припоев, химической аппаратуры, защитных средств от ионизирующего излучения, в производстве хрусталя, а также в качестве красок (свинцовые белила, свинцовый сурик)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вспомогательных веществ при обрубке металлов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глазури для гончарных изделий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строительных материалов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сплава при газоэлектросварке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глазури для гончарных изделий</w:t>
      </w:r>
    </w:p>
    <w:p>
      <w:pPr>
        <w:ind w:left="504"/>
      </w:pPr>
      <w:r>
        <w:rPr>
          <w:b w:val="0"/>
          <w:i/>
        </w:rPr>
        <w:t>Свинец и его соединения используются в промышленности для изготовления некоторых сплавов (баббиты, латунь), аккумуляторов, припоев, химической аппаратуры, защитных средств от ионизирующего излучения, в производстве хрусталя, а также в качестве красок (свинцовые белила, свинцовый сурик),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Профилактика свинцовой интоксикации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предварительной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двухэтапной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первичной, вторичной и третичной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предупредительной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первичной, вторичной и третичной</w:t>
      </w:r>
    </w:p>
    <w:p>
      <w:pPr>
        <w:ind w:left="504"/>
      </w:pPr>
      <w:r>
        <w:rPr>
          <w:b w:val="0"/>
          <w:i/>
        </w:rPr>
        <w:t>Профилактические мероприятия:</w:t>
        <w:br/>
        <w:br/>
        <w:t>Первичная профилактика:</w:t>
        <w:br/>
        <w:br/>
        <w:t>* устранение этиологических факторов - пылеподавление, обеспечение индивидуальными средствами защиты согласно действующих нормативно-правовых актов в области безопасности и охраны труда на предприятиях свинцовой промышленности;</w:t>
        <w:br/>
        <w:br/>
        <w:t>* своевременное и качественное проведение предварительных и периодических медицинских осмотров согласно регламентируемым приказам].</w:t>
        <w:br/>
        <w:br/>
        <w:t>Вторичная профилактика:</w:t>
        <w:br/>
        <w:br/>
        <w:t>* лечебно-профилактическое питание - прием столовой минеральной воды, повышает эффективность естественных механизмов детоксикации и элиминации, повышает функциональные резервы организма на всех уровнях;</w:t>
        <w:br/>
        <w:br/>
        <w:t>* прием поливитаминов с целью обезвреживания свободных радикалов и очищения организма от их отрицательного действия, а так же для дополнительного обогащения рационов питания;</w:t>
        <w:br/>
        <w:br/>
        <w:t>* санаторно-курортное лечение в регионах с сухим теплым воздухом;</w:t>
        <w:br/>
        <w:br/>
        <w:t>* ЛФК, дыхательная гимнастика, массаж конечностей, направленные на снятие болевого синдрома;</w:t>
        <w:br/>
        <w:br/>
        <w:t>Третичная профилактика</w:t>
        <w:br/>
        <w:br/>
        <w:t>* профилактика осложненений заболевания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Индикатором полной эффективности лечения хронической свинцовой интоксикации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улучшение качества жизни, нормализация клинико-лабораторных и функциональных показателей, купирование болевого синдрома (при наличии), стабилизация гемодинамики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нормализация клинико-лабораторных и способность отвечать на психологические тесты, улучшение функции внешнего 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стабилизация гемодинамики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купирование болевого синдрома (при наличии)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улучшение качества жизни, нормализация клинико-лабораторных и функциональных показателей, купирование болевого синдрома (при наличии), стабилизация гемодинамики</w:t>
      </w:r>
    </w:p>
    <w:p>
      <w:pPr>
        <w:ind w:left="504"/>
      </w:pPr>
      <w:r>
        <w:rPr>
          <w:b w:val="0"/>
          <w:i/>
        </w:rPr>
        <w:t>Улучшение качества жизни, нормализация клинико-лабораторных и функциональных показателей, купирование болевого синдрома (при наличии), стабилизация гемодинамики являются индикаторами эффективности проведенных лечебных мероприятий.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Наиболее правильным решением врачебной комиссии в отношении вопроса экспертизы трудоспособности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возврат на работу после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направление на бюро медико - социальной экспертизы для решения экспертных вопросов (для определения I группы инвалидности профессионального характера)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направление на бюро медико - социальной экспертизы для решения экспертных вопросов (для определения группы инвалидности профессионального характера)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переквалификация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направление на бюро медико - социальной экспертизы для решения экспертных вопросов (для определения группы инвалидности профессионального характера)</w:t>
      </w:r>
    </w:p>
    <w:p>
      <w:pPr>
        <w:ind w:left="504"/>
      </w:pPr>
      <w:r>
        <w:rPr>
          <w:b w:val="0"/>
          <w:i/>
        </w:rPr>
        <w:t>Выраженная форма– длительное лечение в стационаре («выделительная» и общеукрепляющая терапия) + полное отстранение от работ, связанных с применением свинца</w:t>
        <w:br/>
        <w:br/>
      </w:r>
      <w:hyperlink r:id="rId16">
        <w:r>
          <w:rPr>
            <w:color w:val="0F766E"/>
            <w:u w:val="single"/>
          </w:rPr>
          <w:t>https://uchenie.net/93-professionalnaya-intoksikaciya-svincom/</w:t>
        </w:r>
      </w:hyperlink>
      <w:r>
        <w:rPr>
          <w:b w:val="0"/>
          <w:i/>
        </w:rPr>
        <w:br/>
        <w:br/>
        <w:t>При интоксикации тяжелой степени необходима госпитализация с лечением и прекращение контакта со свинцом и другими токсическими веществами. Пенсионирование осуществляется в зависимости от степени снижения трудоспособности по Соответствующей группе профессиональной инвалидности; лица, перенесшие выраженный полиневрит или энцефалопатию- инвалиды II группы. Показаниями к длительному переводу на другую работу с переводом на инвалидность являются: рецидивирующая свинцовая анемия и колика, свинцовые полиневриты и энцефалопатия, выраженный токсический гепатит с нарушением функциональной способности печени, свинцовый церебральный артериосклероз и легкие, но часто повторяющиеся свинцовые интоксикации.</w:t>
        <w:br/>
        <w:br/>
      </w:r>
      <w:hyperlink r:id="rId17">
        <w:r>
          <w:rPr>
            <w:color w:val="0F766E"/>
            <w:u w:val="single"/>
          </w:rPr>
          <w:t>http://www.matrixplus.ru/zprofmed-011.htm</w:t>
        </w:r>
      </w:hyperlink>
      <w:r>
        <w:rPr>
          <w:b w:val="0"/>
          <w:i/>
        </w:rPr>
        <w:br/>
        <w:br/>
        <w:t xml:space="preserve"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 </w:t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Глава 2.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</w:p>
    <w:p>
      <w:pPr>
        <w:pStyle w:val="Heading2"/>
      </w:pPr>
      <w:r>
        <w:t>4. Лечение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Лечение хронической свинцовой интоксикации включает применение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витаминов группы 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5% - ного раствора унитиола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раствора Д - пеницилламина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10% раствора тетацина кальция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10% раствора тетацина кальция</w:t>
      </w:r>
    </w:p>
    <w:p>
      <w:pPr>
        <w:ind w:left="504"/>
      </w:pPr>
      <w:r>
        <w:rPr>
          <w:b w:val="0"/>
          <w:i/>
        </w:rPr>
        <w:t>Лечение хронической свинцовой интоксикации включает применение: Tetacinum-calcium; син.:Natrii calcii ecletas, Sodium calcium edetate, Chelaton, EDTA, Edatacalи др.) — комплексообразующее средство. применяютдля лечения острых и хрон. отравлений свинцом. Взрослым внутривенно (капельно) вводят по 10-—20 мл 10% р-ра в 250—500 мл изотонического р-ра натрия хлорида или 5% р-ра глюкозы 2 раза в день с промежутком между вливаниями не менее 3 часов. Вводят ежедневно в течение 3—4 дней с перерывами по 3—4 дня. Курс лечения 1 мес.</w:t>
        <w:br/>
        <w:br/>
        <w:t xml:space="preserve"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 </w:t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Учебник / В.Г. Артамонова, Н.А. Мухин - М.:Медицина, 2004 -497 с</w:t>
        <w:br/>
        <w:br/>
        <w:t>Профессиональные болезни: учебное пособие для вузов / В. В. Косарев, В. С. Лотков, С. А. Бабанов. - М. : ГЭОТАР-Медиа, 2008. -</w:t>
        <w:br/>
        <w:br/>
      </w:r>
      <w:hyperlink r:id="rId14">
        <w:r>
          <w:rPr>
            <w:color w:val="0F766E"/>
            <w:u w:val="single"/>
          </w:rPr>
          <w:t>http://www.rosmedlib.ru/book/ISBN9785970442999.html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профилактики свинцовой интоксикации на производстве рекомендуется пылеподавление, обеспечение индивидуальными средствами защиты, прохождение сотрудниками периодических медицинских осмотров, прием минеральной воды и прием лечебно-профилактического питания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содержащего пектины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содержащего жиры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содержащего лактозу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исключающего глютен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содержащего пектины</w:t>
      </w:r>
    </w:p>
    <w:p>
      <w:pPr>
        <w:ind w:left="504"/>
      </w:pPr>
      <w:r>
        <w:rPr>
          <w:b w:val="0"/>
          <w:i/>
        </w:rPr>
        <w:t>Профилактика:</w:t>
        <w:br/>
        <w:br/>
        <w:t>* устранение этиологических факторов - пылеподавление, обеспечение индивидуальными средствами защиты согласно действующих нормативно-правовых актов в области безопасности и охраны труда на предприятиях свинцовой промышленности;</w:t>
        <w:br/>
        <w:br/>
        <w:t>* своевременное и качественное проведение предварительных и периодических медицинских осмотров согласно регламентируемым приказам;</w:t>
        <w:br/>
        <w:br/>
        <w:t>* лечебно-профилактическое питание - прием столовой минеральной воды, повышает эффективность естественных механизмов детоксикации и элиминации, повышает функциональные резервы организма на всех уровнях;</w:t>
        <w:br/>
        <w:br/>
        <w:t>* прием лечебно-профилактического питания, содержащего пектины· прием поливитаминов с целью обезвреживания свободных радикалов и очищения организма от их отрицательного действия, а так же для дополнительного обогащения рационов питания</w:t>
        <w:br/>
        <w:br/>
        <w:t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</w:t>
        <w:br/>
        <w:br/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Учебник . Глава 2/ В.Г. Артамонова, Н.А.Мухин - М.:Медицина, 2004 -497 с. Профессиональные болезни. Глава 2.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  <w:r>
        <w:rPr>
          <w:b w:val="0"/>
          <w:i/>
        </w:rPr>
        <w:br/>
        <w:br/>
        <w:t>Профессиональные болезни: учебное пособие для вузов / В. В. Косарев, В. С. Лотков, С. А. Бабанов. - М. : ГЭОТАР-Медиа, 2008. -</w:t>
        <w:br/>
        <w:br/>
      </w:r>
      <w:hyperlink r:id="rId14">
        <w:r>
          <w:rPr>
            <w:color w:val="0F766E"/>
            <w:u w:val="single"/>
          </w:rPr>
          <w:t>http://www.rosmedlib.ru/book/ISBN9785970442999.html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oksmed.com/terapiya/96-professionalnye-bolezni-artamonova-muxin.html" TargetMode="External"/><Relationship Id="rId10" Type="http://schemas.openxmlformats.org/officeDocument/2006/relationships/hyperlink" Target="https://vrachirf.ru/storage/7b/da/77/de/e9/76/4a/ad/4bd3-f6593c-6116cd.pdf" TargetMode="External"/><Relationship Id="rId11" Type="http://schemas.openxmlformats.org/officeDocument/2006/relationships/hyperlink" Target="https://legalacts.ru/doc/prikaz-minzdravsotsrazvitija-rossii-ot-27042012-n-417n/" TargetMode="External"/><Relationship Id="rId12" Type="http://schemas.openxmlformats.org/officeDocument/2006/relationships/hyperlink" Target="https://www.rosmedlib.ru/book/ISBN9785970419472.html" TargetMode="External"/><Relationship Id="rId13" Type="http://schemas.openxmlformats.org/officeDocument/2006/relationships/hyperlink" Target="http://vip-doctors.ru/prof_bol/prof_otr_svinec.php" TargetMode="External"/><Relationship Id="rId14" Type="http://schemas.openxmlformats.org/officeDocument/2006/relationships/hyperlink" Target="http://www.rosmedlib.ru/book/ISBN9785970442999.html" TargetMode="External"/><Relationship Id="rId15" Type="http://schemas.openxmlformats.org/officeDocument/2006/relationships/hyperlink" Target="https://www.rosmedlib.ru/book/ISBN9785970442999.html" TargetMode="External"/><Relationship Id="rId16" Type="http://schemas.openxmlformats.org/officeDocument/2006/relationships/hyperlink" Target="https://uchenie.net/93-professionalnaya-intoksikaciya-svincom/" TargetMode="External"/><Relationship Id="rId17" Type="http://schemas.openxmlformats.org/officeDocument/2006/relationships/hyperlink" Target="http://www.matrixplus.ru/zprofmed-01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